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A35420" w:rsidTr="00BF3B7C">
        <w:tc>
          <w:tcPr>
            <w:tcW w:w="9625" w:type="dxa"/>
            <w:gridSpan w:val="2"/>
          </w:tcPr>
          <w:p w:rsidR="00A35420" w:rsidRPr="000605B2" w:rsidRDefault="007F2C30" w:rsidP="007F2C30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Week 6</w:t>
            </w:r>
            <w:r w:rsidR="00A35420" w:rsidRPr="00A35420">
              <w:rPr>
                <w:b/>
                <w:sz w:val="32"/>
              </w:rPr>
              <w:t xml:space="preserve"> (</w:t>
            </w:r>
            <w:r w:rsidR="003453BE">
              <w:rPr>
                <w:b/>
                <w:sz w:val="32"/>
              </w:rPr>
              <w:t xml:space="preserve">April </w:t>
            </w:r>
            <w:r>
              <w:rPr>
                <w:b/>
                <w:sz w:val="32"/>
              </w:rPr>
              <w:t>20</w:t>
            </w:r>
            <w:r w:rsidRPr="007F2C30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>-24</w:t>
            </w:r>
            <w:r w:rsidRPr="007F2C30">
              <w:rPr>
                <w:b/>
                <w:sz w:val="32"/>
                <w:vertAlign w:val="superscript"/>
              </w:rPr>
              <w:t>th</w:t>
            </w:r>
            <w:r w:rsidR="00A35420" w:rsidRPr="00A35420">
              <w:rPr>
                <w:b/>
                <w:sz w:val="32"/>
              </w:rPr>
              <w:t xml:space="preserve">) </w:t>
            </w:r>
          </w:p>
        </w:tc>
      </w:tr>
      <w:tr w:rsidR="00B70FCB" w:rsidTr="00B70FCB">
        <w:tc>
          <w:tcPr>
            <w:tcW w:w="2263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Subject</w:t>
            </w:r>
          </w:p>
        </w:tc>
        <w:tc>
          <w:tcPr>
            <w:tcW w:w="7362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CF166E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</w:p>
          <w:p w:rsidR="00B70FCB" w:rsidRDefault="003453BE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CF166E">
              <w:rPr>
                <w:b/>
                <w:sz w:val="28"/>
              </w:rPr>
              <w:t>(Lesson 2</w:t>
            </w:r>
            <w:r w:rsidR="007F2C30">
              <w:rPr>
                <w:b/>
                <w:sz w:val="28"/>
              </w:rPr>
              <w:t>8</w:t>
            </w:r>
            <w:r w:rsidR="004B1D6A">
              <w:rPr>
                <w:b/>
                <w:sz w:val="28"/>
              </w:rPr>
              <w:t xml:space="preserve">: </w:t>
            </w:r>
            <w:r w:rsidR="007F2C30">
              <w:rPr>
                <w:b/>
                <w:sz w:val="28"/>
              </w:rPr>
              <w:t>Frog &amp; Toad, The Kite</w:t>
            </w:r>
            <w:r w:rsidR="003E4E7E" w:rsidRPr="00CF166E">
              <w:rPr>
                <w:b/>
                <w:sz w:val="28"/>
              </w:rPr>
              <w:t>)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</w:p>
        </w:tc>
        <w:tc>
          <w:tcPr>
            <w:tcW w:w="7362" w:type="dxa"/>
          </w:tcPr>
          <w:p w:rsidR="00CF166E" w:rsidRPr="00003BB5" w:rsidRDefault="00CF166E" w:rsidP="00CF166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will allow the children to listen to their story, watch videos, practice spelling words etc. They can do this as much as they’d like.</w:t>
            </w:r>
            <w:r w:rsidR="00521644">
              <w:t xml:space="preserve"> </w:t>
            </w:r>
            <w:hyperlink r:id="rId6" w:history="1">
              <w:r w:rsidR="005721DC">
                <w:rPr>
                  <w:rStyle w:val="Hyperlink"/>
                </w:rPr>
                <w:t>https://edu.glogster.com/glog/_/1xfc4lxquc0</w:t>
              </w:r>
            </w:hyperlink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Words to Know on pg. </w:t>
            </w:r>
            <w:r w:rsidR="007F2C30">
              <w:rPr>
                <w:sz w:val="24"/>
              </w:rPr>
              <w:t>82-83</w:t>
            </w:r>
            <w:r w:rsidR="009012E8">
              <w:rPr>
                <w:sz w:val="24"/>
              </w:rPr>
              <w:t>)</w:t>
            </w:r>
            <w:r>
              <w:rPr>
                <w:sz w:val="24"/>
              </w:rPr>
              <w:t xml:space="preserve"> and complete worksheet </w:t>
            </w:r>
            <w:r w:rsidRPr="001417AE">
              <w:rPr>
                <w:b/>
                <w:sz w:val="24"/>
              </w:rPr>
              <w:t xml:space="preserve">page RN </w:t>
            </w:r>
            <w:r w:rsidR="009167EE">
              <w:rPr>
                <w:b/>
                <w:sz w:val="24"/>
              </w:rPr>
              <w:t>183</w:t>
            </w:r>
            <w:r w:rsidR="004355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(Read Decodable: </w:t>
            </w:r>
            <w:r w:rsidR="005721DC" w:rsidRPr="005721DC">
              <w:rPr>
                <w:b/>
                <w:i/>
                <w:sz w:val="24"/>
              </w:rPr>
              <w:t>Sally Jane &amp; Beth Ann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hi</w:t>
            </w:r>
            <w:r w:rsidR="004355B6">
              <w:rPr>
                <w:sz w:val="24"/>
              </w:rPr>
              <w:t>g</w:t>
            </w:r>
            <w:r w:rsidR="009167EE">
              <w:rPr>
                <w:sz w:val="24"/>
              </w:rPr>
              <w:t xml:space="preserve">hlight or underline words with </w:t>
            </w:r>
            <w:proofErr w:type="spellStart"/>
            <w:r w:rsidR="009167EE">
              <w:rPr>
                <w:sz w:val="24"/>
              </w:rPr>
              <w:t>igh</w:t>
            </w:r>
            <w:proofErr w:type="spellEnd"/>
            <w:r w:rsidR="009167EE">
              <w:rPr>
                <w:sz w:val="24"/>
              </w:rPr>
              <w:t xml:space="preserve">, y, </w:t>
            </w:r>
            <w:proofErr w:type="spellStart"/>
            <w:r w:rsidR="009167EE"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9012E8">
              <w:rPr>
                <w:sz w:val="24"/>
              </w:rPr>
              <w:t xml:space="preserve"> start with</w:t>
            </w:r>
            <w:r w:rsidR="007F2C30">
              <w:rPr>
                <w:sz w:val="24"/>
              </w:rPr>
              <w:t xml:space="preserve"> the Read &amp; Comprehend on pg. 84</w:t>
            </w:r>
            <w:r w:rsidR="009012E8">
              <w:rPr>
                <w:sz w:val="24"/>
              </w:rPr>
              <w:t>. What is our target skill? What is our target strategy? What is the genre of the story? Who is the author &amp; illustrator?</w:t>
            </w:r>
            <w:r w:rsidR="007F2C30">
              <w:rPr>
                <w:sz w:val="24"/>
              </w:rPr>
              <w:t xml:space="preserve"> (</w:t>
            </w:r>
            <w:proofErr w:type="spellStart"/>
            <w:r w:rsidR="007F2C30">
              <w:rPr>
                <w:sz w:val="24"/>
              </w:rPr>
              <w:t>glogster</w:t>
            </w:r>
            <w:proofErr w:type="spellEnd"/>
            <w:r w:rsidR="007F2C30">
              <w:rPr>
                <w:sz w:val="24"/>
              </w:rPr>
              <w:t xml:space="preserve"> link attached) </w:t>
            </w:r>
            <w:r>
              <w:rPr>
                <w:sz w:val="24"/>
              </w:rPr>
              <w:t xml:space="preserve">at least twice throughout the week. </w:t>
            </w:r>
            <w:r w:rsidRPr="00152B85">
              <w:rPr>
                <w:sz w:val="24"/>
              </w:rPr>
              <w:t>(Read Decodable:</w:t>
            </w:r>
            <w:r w:rsidR="005721DC" w:rsidRPr="005721DC">
              <w:rPr>
                <w:b/>
                <w:i/>
                <w:sz w:val="24"/>
              </w:rPr>
              <w:t xml:space="preserve"> </w:t>
            </w:r>
            <w:r w:rsidR="005721DC" w:rsidRPr="005721DC">
              <w:rPr>
                <w:b/>
                <w:i/>
                <w:sz w:val="24"/>
              </w:rPr>
              <w:t>Ty and Big Gilly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 w:rsidR="004355B6">
              <w:rPr>
                <w:i/>
                <w:sz w:val="24"/>
              </w:rPr>
              <w:t>–</w:t>
            </w:r>
            <w:proofErr w:type="spellStart"/>
            <w:r w:rsidR="009167EE">
              <w:rPr>
                <w:i/>
                <w:sz w:val="24"/>
              </w:rPr>
              <w:t>igh</w:t>
            </w:r>
            <w:proofErr w:type="spellEnd"/>
            <w:r w:rsidR="009167EE">
              <w:rPr>
                <w:i/>
                <w:sz w:val="24"/>
              </w:rPr>
              <w:t xml:space="preserve">, y, </w:t>
            </w:r>
            <w:proofErr w:type="spellStart"/>
            <w:r w:rsidR="009167EE">
              <w:rPr>
                <w:i/>
                <w:sz w:val="24"/>
              </w:rPr>
              <w:t>ie</w:t>
            </w:r>
            <w:proofErr w:type="spellEnd"/>
            <w:r w:rsidR="004355B6">
              <w:rPr>
                <w:i/>
                <w:sz w:val="24"/>
              </w:rPr>
              <w:t xml:space="preserve"> endings</w:t>
            </w:r>
            <w:r w:rsidRPr="00152B85">
              <w:rPr>
                <w:sz w:val="24"/>
              </w:rPr>
              <w:t>)</w:t>
            </w:r>
          </w:p>
          <w:p w:rsidR="00CF166E" w:rsidRPr="00152B85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7F2C30">
              <w:rPr>
                <w:i/>
                <w:sz w:val="24"/>
              </w:rPr>
              <w:t>Measuring Weather</w:t>
            </w:r>
            <w:r w:rsidR="009012E8">
              <w:rPr>
                <w:i/>
                <w:sz w:val="24"/>
              </w:rPr>
              <w:t>!</w:t>
            </w:r>
            <w:r>
              <w:rPr>
                <w:i/>
                <w:sz w:val="24"/>
              </w:rPr>
              <w:t xml:space="preserve"> </w:t>
            </w:r>
            <w:r w:rsidR="00E5149E">
              <w:rPr>
                <w:sz w:val="24"/>
              </w:rPr>
              <w:t xml:space="preserve">pgs. </w:t>
            </w:r>
            <w:r w:rsidR="007F2C30">
              <w:rPr>
                <w:sz w:val="24"/>
              </w:rPr>
              <w:t>106</w:t>
            </w:r>
            <w:r w:rsidR="005721DC">
              <w:rPr>
                <w:sz w:val="24"/>
              </w:rPr>
              <w:t>-108</w:t>
            </w:r>
            <w:r>
              <w:rPr>
                <w:sz w:val="24"/>
              </w:rPr>
              <w:t xml:space="preserve"> (Read Decodable </w:t>
            </w:r>
            <w:r w:rsidR="005721DC">
              <w:rPr>
                <w:b/>
                <w:i/>
                <w:sz w:val="24"/>
              </w:rPr>
              <w:t>Bird Watching</w:t>
            </w:r>
            <w:r w:rsidR="005721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highlight or underline words with </w:t>
            </w:r>
            <w:r w:rsidR="009167EE">
              <w:rPr>
                <w:sz w:val="24"/>
              </w:rPr>
              <w:t>inflectional endings –</w:t>
            </w:r>
            <w:proofErr w:type="spellStart"/>
            <w:r w:rsidR="009167EE">
              <w:rPr>
                <w:sz w:val="24"/>
              </w:rPr>
              <w:t>ed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ing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er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est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es</w:t>
            </w:r>
            <w:proofErr w:type="spellEnd"/>
            <w:r w:rsidR="004355B6">
              <w:rPr>
                <w:i/>
                <w:sz w:val="24"/>
              </w:rPr>
              <w:t>)</w:t>
            </w:r>
            <w:r w:rsidR="001417AE">
              <w:rPr>
                <w:i/>
                <w:sz w:val="24"/>
              </w:rPr>
              <w:t xml:space="preserve"> Complete </w:t>
            </w:r>
            <w:r w:rsidR="001417AE" w:rsidRPr="001417AE">
              <w:rPr>
                <w:b/>
                <w:i/>
                <w:sz w:val="24"/>
              </w:rPr>
              <w:t>worksheet page 1</w:t>
            </w:r>
            <w:r w:rsidR="008B0A9E">
              <w:rPr>
                <w:b/>
                <w:i/>
                <w:sz w:val="24"/>
              </w:rPr>
              <w:t>87</w:t>
            </w:r>
          </w:p>
          <w:p w:rsidR="00CF166E" w:rsidRPr="00BE0EA7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5721DC">
              <w:rPr>
                <w:sz w:val="24"/>
              </w:rPr>
              <w:t>110-111</w:t>
            </w:r>
            <w:r w:rsidR="009012E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5149E">
              <w:rPr>
                <w:sz w:val="24"/>
              </w:rPr>
              <w:t xml:space="preserve">Kinds of </w:t>
            </w:r>
            <w:r w:rsidR="005721DC">
              <w:rPr>
                <w:sz w:val="24"/>
              </w:rPr>
              <w:t>Adjectives</w:t>
            </w:r>
            <w:r>
              <w:rPr>
                <w:sz w:val="24"/>
              </w:rPr>
              <w:t xml:space="preserve">) complete </w:t>
            </w:r>
            <w:r w:rsidRPr="001417AE">
              <w:rPr>
                <w:b/>
                <w:sz w:val="24"/>
              </w:rPr>
              <w:t xml:space="preserve">worksheet pg. </w:t>
            </w:r>
            <w:r w:rsidR="008B0A9E">
              <w:rPr>
                <w:b/>
                <w:sz w:val="24"/>
              </w:rPr>
              <w:t>185</w:t>
            </w:r>
            <w:r w:rsidR="00E5149E">
              <w:rPr>
                <w:sz w:val="24"/>
              </w:rPr>
              <w:t xml:space="preserve"> </w:t>
            </w:r>
            <w:r>
              <w:rPr>
                <w:sz w:val="24"/>
              </w:rPr>
              <w:t>(Read Decodable:</w:t>
            </w:r>
            <w:r w:rsidR="005721DC">
              <w:rPr>
                <w:sz w:val="24"/>
              </w:rPr>
              <w:t xml:space="preserve"> </w:t>
            </w:r>
            <w:r w:rsidR="005721DC">
              <w:rPr>
                <w:b/>
                <w:sz w:val="24"/>
              </w:rPr>
              <w:t>Benches</w:t>
            </w:r>
            <w:r>
              <w:rPr>
                <w:i/>
                <w:sz w:val="24"/>
              </w:rPr>
              <w:t xml:space="preserve">, underline or highlight </w:t>
            </w:r>
            <w:r>
              <w:rPr>
                <w:sz w:val="24"/>
              </w:rPr>
              <w:t xml:space="preserve">words with </w:t>
            </w:r>
            <w:r w:rsidR="009167EE">
              <w:rPr>
                <w:sz w:val="24"/>
              </w:rPr>
              <w:t>inflectional endings –</w:t>
            </w:r>
            <w:proofErr w:type="spellStart"/>
            <w:r w:rsidR="009167EE">
              <w:rPr>
                <w:sz w:val="24"/>
              </w:rPr>
              <w:t>ed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ing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er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est</w:t>
            </w:r>
            <w:proofErr w:type="spellEnd"/>
            <w:r w:rsidR="009167EE">
              <w:rPr>
                <w:sz w:val="24"/>
              </w:rPr>
              <w:t>, -</w:t>
            </w:r>
            <w:proofErr w:type="spellStart"/>
            <w:r w:rsidR="009167EE">
              <w:rPr>
                <w:sz w:val="24"/>
              </w:rPr>
              <w:t>es</w:t>
            </w:r>
            <w:proofErr w:type="spellEnd"/>
            <w:r w:rsidR="009167EE"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Spelling words (</w:t>
            </w:r>
            <w:r w:rsidR="00247398">
              <w:rPr>
                <w:i/>
                <w:sz w:val="24"/>
              </w:rPr>
              <w:t>-</w:t>
            </w:r>
            <w:proofErr w:type="spellStart"/>
            <w:r w:rsidR="005721DC">
              <w:rPr>
                <w:i/>
                <w:sz w:val="24"/>
              </w:rPr>
              <w:t>ie</w:t>
            </w:r>
            <w:proofErr w:type="spellEnd"/>
            <w:r w:rsidR="005721DC">
              <w:rPr>
                <w:i/>
                <w:sz w:val="24"/>
              </w:rPr>
              <w:t>/y</w:t>
            </w:r>
            <w:r>
              <w:rPr>
                <w:i/>
                <w:sz w:val="24"/>
              </w:rPr>
              <w:t>) write each word 3x</w:t>
            </w:r>
          </w:p>
          <w:p w:rsidR="009A23B0" w:rsidRPr="001F719D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the Chapter Test (Can use the book! </w:t>
            </w:r>
            <w:r w:rsidRPr="00064008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</w:t>
            </w:r>
          </w:p>
        </w:tc>
      </w:tr>
      <w:tr w:rsidR="0096462C" w:rsidTr="00B70FCB">
        <w:tc>
          <w:tcPr>
            <w:tcW w:w="2263" w:type="dxa"/>
          </w:tcPr>
          <w:p w:rsidR="0096462C" w:rsidRDefault="0096462C" w:rsidP="001F719D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Writing</w:t>
            </w:r>
          </w:p>
        </w:tc>
        <w:tc>
          <w:tcPr>
            <w:tcW w:w="7362" w:type="dxa"/>
          </w:tcPr>
          <w:p w:rsidR="0096462C" w:rsidRDefault="0096462C" w:rsidP="008B0A9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Write an Opinion paper telling me </w:t>
            </w:r>
            <w:r w:rsidR="008B0A9E">
              <w:rPr>
                <w:sz w:val="24"/>
              </w:rPr>
              <w:t>the best thing about</w:t>
            </w:r>
            <w:r>
              <w:rPr>
                <w:sz w:val="24"/>
              </w:rPr>
              <w:t xml:space="preserve"> Spring, including three detail sentences. </w:t>
            </w:r>
            <w:r w:rsidR="008B0A9E">
              <w:rPr>
                <w:sz w:val="24"/>
              </w:rPr>
              <w:t xml:space="preserve">Once you’ve finished your sloppy copy, rewrite it on to your final draft, using your BEST handwriting!! </w:t>
            </w:r>
          </w:p>
        </w:tc>
      </w:tr>
      <w:tr w:rsidR="001F719D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 xml:space="preserve">Math- </w:t>
            </w:r>
            <w:r>
              <w:rPr>
                <w:b/>
                <w:sz w:val="28"/>
              </w:rPr>
              <w:t>Review</w:t>
            </w:r>
          </w:p>
        </w:tc>
        <w:tc>
          <w:tcPr>
            <w:tcW w:w="7362" w:type="dxa"/>
          </w:tcPr>
          <w:p w:rsidR="001B7295" w:rsidRDefault="001B7295" w:rsidP="001B7295">
            <w:pPr>
              <w:rPr>
                <w:sz w:val="24"/>
              </w:rPr>
            </w:pPr>
            <w:r>
              <w:rPr>
                <w:sz w:val="24"/>
              </w:rPr>
              <w:t xml:space="preserve">**If able, complete the interactive lesson (students do not have to do the Personal Math Trainer) then watch the Math on the Spot prior to completing workbook pages. </w:t>
            </w:r>
          </w:p>
          <w:p w:rsidR="004A76A3" w:rsidRPr="004A76A3" w:rsidRDefault="004A76A3" w:rsidP="001B7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Tear out and return the Practice &amp; Homework pages at the end of each lesson.</w:t>
            </w:r>
          </w:p>
          <w:p w:rsidR="00926287" w:rsidRDefault="00E44A91" w:rsidP="009262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45389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Make New 3D Shapes</w:t>
            </w:r>
            <w:r w:rsidR="00453898">
              <w:rPr>
                <w:b/>
                <w:sz w:val="24"/>
              </w:rPr>
              <w:t xml:space="preserve"> pgs. </w:t>
            </w:r>
            <w:r>
              <w:rPr>
                <w:b/>
                <w:sz w:val="24"/>
              </w:rPr>
              <w:t>645-649</w:t>
            </w:r>
            <w:r>
              <w:rPr>
                <w:sz w:val="24"/>
              </w:rPr>
              <w:t xml:space="preserve"> (Tear out and hand in pg. 649</w:t>
            </w:r>
            <w:r w:rsidR="00453898" w:rsidRPr="0087544E">
              <w:rPr>
                <w:sz w:val="24"/>
              </w:rPr>
              <w:t xml:space="preserve">) </w:t>
            </w:r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7" w:history="1">
              <w:r w:rsidR="009167EE">
                <w:rPr>
                  <w:rStyle w:val="Hyperlink"/>
                </w:rPr>
                <w:t>https://www-k6.thinkcentral.com/content/hsp/math/gomath/na/gr1/online_interactive_teacher_book_9780544349063_/G1_Chp11_L3/launch.html?edition=student</w:t>
              </w:r>
            </w:hyperlink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8" w:anchor="videoId=ref:En_861" w:history="1">
              <w:r w:rsidR="009167EE">
                <w:rPr>
                  <w:rStyle w:val="Hyperlink"/>
                </w:rPr>
                <w:t>https://www-k6.thinkcentral.com/content/hsp/math/gomath/common/video/video.html#videoId=ref:En_861</w:t>
              </w:r>
            </w:hyperlink>
          </w:p>
          <w:p w:rsidR="00926287" w:rsidRPr="001417AE" w:rsidRDefault="0087544E" w:rsidP="0087544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E44A91">
              <w:rPr>
                <w:b/>
                <w:sz w:val="24"/>
              </w:rPr>
              <w:t>4 Take Apart 3D Shapes pgs. 651-655</w:t>
            </w:r>
            <w:r>
              <w:rPr>
                <w:b/>
                <w:sz w:val="24"/>
              </w:rPr>
              <w:t xml:space="preserve"> (</w:t>
            </w:r>
            <w:r w:rsidR="00E44A91">
              <w:rPr>
                <w:sz w:val="24"/>
              </w:rPr>
              <w:t>Tear out and turn in pg. 655</w:t>
            </w:r>
            <w:r>
              <w:rPr>
                <w:sz w:val="24"/>
              </w:rPr>
              <w:t>)</w:t>
            </w:r>
          </w:p>
          <w:p w:rsidR="001417AE" w:rsidRDefault="001417AE" w:rsidP="001417AE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9" w:history="1">
              <w:r w:rsidR="009167EE">
                <w:rPr>
                  <w:rStyle w:val="Hyperlink"/>
                </w:rPr>
                <w:t>https://www-k6.thinkcentral.com/content/hsp/math/gomath/na/gr1/online_interactive_teacher_book_9780544349063_/G1_Chp11_L4/launch.html?edition=student</w:t>
              </w:r>
            </w:hyperlink>
          </w:p>
          <w:p w:rsidR="001417AE" w:rsidRDefault="001417AE" w:rsidP="001417AE">
            <w:pPr>
              <w:pStyle w:val="ListParagraph"/>
              <w:rPr>
                <w:rStyle w:val="Hyperlink"/>
              </w:rPr>
            </w:pPr>
            <w:r>
              <w:rPr>
                <w:b/>
                <w:sz w:val="24"/>
              </w:rPr>
              <w:lastRenderedPageBreak/>
              <w:t xml:space="preserve">Math on the Spot: </w:t>
            </w:r>
            <w:hyperlink r:id="rId10" w:anchor="videoId=ref:En_862" w:history="1">
              <w:r w:rsidR="009167EE">
                <w:rPr>
                  <w:rStyle w:val="Hyperlink"/>
                </w:rPr>
                <w:t>https://www-k6.thinkcentral.com/content/hsp/math/gomath/common/video/video.html#videoId=ref:En_862</w:t>
              </w:r>
            </w:hyperlink>
          </w:p>
          <w:p w:rsidR="00E44A91" w:rsidRDefault="005138D4" w:rsidP="00E44A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</w:p>
          <w:p w:rsidR="005138D4" w:rsidRDefault="005138D4" w:rsidP="005138D4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Interactive Lesson:</w:t>
            </w:r>
            <w:r w:rsidR="009167EE">
              <w:rPr>
                <w:b/>
                <w:sz w:val="24"/>
              </w:rPr>
              <w:t xml:space="preserve"> </w:t>
            </w:r>
            <w:hyperlink r:id="rId11" w:history="1">
              <w:r w:rsidR="009167EE">
                <w:rPr>
                  <w:rStyle w:val="Hyperlink"/>
                </w:rPr>
                <w:t>https://www-k6.thinkcentral.com/content/hsp/math/gomath/na/gr1/online_interactive_teacher_book_9780544349063_/G1_Chp11_L5/launch.html?edition=student</w:t>
              </w:r>
            </w:hyperlink>
          </w:p>
          <w:p w:rsidR="005138D4" w:rsidRDefault="005138D4" w:rsidP="005138D4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Math on the Spot:</w:t>
            </w:r>
            <w:r w:rsidR="009167EE">
              <w:rPr>
                <w:b/>
                <w:sz w:val="24"/>
              </w:rPr>
              <w:t xml:space="preserve"> </w:t>
            </w:r>
            <w:hyperlink r:id="rId12" w:anchor="videoId=ref:En_863" w:history="1">
              <w:r w:rsidR="009167EE">
                <w:rPr>
                  <w:rStyle w:val="Hyperlink"/>
                </w:rPr>
                <w:t>https://www-k6.thinkcentral.com/content/hsp/math/gomath/common/video/video.html#videoId=ref:En_863</w:t>
              </w:r>
            </w:hyperlink>
          </w:p>
          <w:p w:rsidR="005138D4" w:rsidRPr="004A76A3" w:rsidRDefault="009167EE" w:rsidP="004A76A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Chapter 11 Review</w:t>
            </w:r>
            <w:r w:rsidR="00F22AA0">
              <w:rPr>
                <w:b/>
                <w:sz w:val="24"/>
              </w:rPr>
              <w:t xml:space="preserve"> pg. 663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B70FCB" w:rsidRDefault="001F719D" w:rsidP="00BE32CA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Pr="001F489D">
              <w:rPr>
                <w:sz w:val="24"/>
              </w:rPr>
              <w:t>Unit</w:t>
            </w:r>
            <w:r w:rsidR="005138D4">
              <w:rPr>
                <w:sz w:val="24"/>
              </w:rPr>
              <w:t xml:space="preserve"> 7</w:t>
            </w:r>
          </w:p>
        </w:tc>
        <w:tc>
          <w:tcPr>
            <w:tcW w:w="7362" w:type="dxa"/>
          </w:tcPr>
          <w:p w:rsidR="001F719D" w:rsidRPr="00BE32CA" w:rsidRDefault="00BE32CA" w:rsidP="005138D4">
            <w:pPr>
              <w:rPr>
                <w:sz w:val="24"/>
              </w:rPr>
            </w:pPr>
            <w:r w:rsidRPr="00F22AA0">
              <w:rPr>
                <w:b/>
                <w:sz w:val="24"/>
              </w:rPr>
              <w:t xml:space="preserve">Unit </w:t>
            </w:r>
            <w:r w:rsidR="005138D4" w:rsidRPr="00F22AA0">
              <w:rPr>
                <w:b/>
                <w:sz w:val="24"/>
              </w:rPr>
              <w:t>7</w:t>
            </w:r>
            <w:r w:rsidR="00F22AA0" w:rsidRPr="00F22AA0">
              <w:rPr>
                <w:b/>
                <w:sz w:val="24"/>
              </w:rPr>
              <w:t xml:space="preserve"> Lesson 1: What Is Weather? Pg. 257-266</w:t>
            </w:r>
            <w:r w:rsidR="00F22AA0">
              <w:rPr>
                <w:sz w:val="24"/>
              </w:rPr>
              <w:t xml:space="preserve"> (Tear out and return page 265)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365D9E">
              <w:rPr>
                <w:b/>
                <w:sz w:val="28"/>
              </w:rPr>
              <w:t xml:space="preserve"> (My World boo</w:t>
            </w:r>
            <w:r w:rsidR="0021010E">
              <w:rPr>
                <w:b/>
                <w:sz w:val="28"/>
              </w:rPr>
              <w:t>k)</w:t>
            </w:r>
          </w:p>
        </w:tc>
        <w:tc>
          <w:tcPr>
            <w:tcW w:w="7362" w:type="dxa"/>
          </w:tcPr>
          <w:p w:rsidR="001F719D" w:rsidRPr="00E00EAE" w:rsidRDefault="001F719D" w:rsidP="001F71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C2154">
              <w:rPr>
                <w:b/>
                <w:sz w:val="24"/>
              </w:rPr>
              <w:t>Weekly Reader</w:t>
            </w:r>
            <w:r w:rsidRPr="00E00EAE">
              <w:rPr>
                <w:sz w:val="24"/>
              </w:rPr>
              <w:t xml:space="preserve">: </w:t>
            </w:r>
            <w:r w:rsidR="00F22AA0">
              <w:rPr>
                <w:sz w:val="24"/>
              </w:rPr>
              <w:t>Palm Trees in the Wind</w:t>
            </w:r>
          </w:p>
          <w:p w:rsidR="001F719D" w:rsidRPr="008F4962" w:rsidRDefault="001F719D" w:rsidP="001F719D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1F719D" w:rsidRDefault="00884919" w:rsidP="00365D9E">
            <w:hyperlink r:id="rId13" w:history="1">
              <w:r w:rsidR="00AF6835">
                <w:rPr>
                  <w:rStyle w:val="Hyperlink"/>
                </w:rPr>
                <w:t>https://sn1.scholastic.com/issues/2019-20/040120.html</w:t>
              </w:r>
            </w:hyperlink>
            <w:r w:rsidR="009C655B">
              <w:br/>
            </w:r>
            <w:r w:rsidR="00AF6835">
              <w:t xml:space="preserve">Click I am a student and use the </w:t>
            </w:r>
            <w:r w:rsidR="001F719D" w:rsidRPr="00B000F8">
              <w:t xml:space="preserve">class code: </w:t>
            </w:r>
            <w:r w:rsidR="003002D7" w:rsidRPr="003002D7">
              <w:t>jarjoke2053</w:t>
            </w:r>
          </w:p>
          <w:p w:rsidR="00AF6835" w:rsidRDefault="00AF6835" w:rsidP="00365D9E">
            <w:r>
              <w:t>You can then Click on this week’s weekly reader (</w:t>
            </w:r>
            <w:r w:rsidR="00F22AA0">
              <w:rPr>
                <w:b/>
                <w:i/>
              </w:rPr>
              <w:t>Palm Trees in the Wind</w:t>
            </w:r>
            <w:r>
              <w:rPr>
                <w:b/>
                <w:i/>
              </w:rPr>
              <w:t xml:space="preserve">) </w:t>
            </w:r>
            <w:r>
              <w:t>listen to the weekly reader, watch the video and play the games</w:t>
            </w:r>
          </w:p>
          <w:p w:rsidR="00AF6835" w:rsidRDefault="00AF6835" w:rsidP="00AF6835">
            <w:pPr>
              <w:pStyle w:val="ListParagraph"/>
              <w:numPr>
                <w:ilvl w:val="0"/>
                <w:numId w:val="1"/>
              </w:numPr>
            </w:pPr>
            <w:r>
              <w:t>Complete the Reading Checkpoint worksheet</w:t>
            </w:r>
            <w:r w:rsidR="001F489D">
              <w:t xml:space="preserve"> </w:t>
            </w:r>
            <w:r>
              <w:t xml:space="preserve"> </w:t>
            </w:r>
          </w:p>
          <w:p w:rsidR="0096462C" w:rsidRDefault="0096462C" w:rsidP="0096462C">
            <w:pPr>
              <w:pStyle w:val="ListParagraph"/>
              <w:numPr>
                <w:ilvl w:val="0"/>
                <w:numId w:val="3"/>
              </w:numPr>
            </w:pPr>
            <w:r>
              <w:t>My World Book Chapter 4 Lesson 3</w:t>
            </w:r>
            <w:r w:rsidR="00BE32CA">
              <w:t xml:space="preserve"> </w:t>
            </w:r>
            <w:r>
              <w:t>What Are Our Celebrations pg. 130-133 (</w:t>
            </w:r>
            <w:r>
              <w:t>Video will be posted on Seesaw)</w:t>
            </w:r>
          </w:p>
          <w:p w:rsidR="00BE32CA" w:rsidRPr="00365D9E" w:rsidRDefault="0096462C" w:rsidP="0096462C">
            <w:pPr>
              <w:pStyle w:val="ListParagraph"/>
              <w:numPr>
                <w:ilvl w:val="0"/>
                <w:numId w:val="3"/>
              </w:numPr>
            </w:pPr>
            <w:r>
              <w:t>Reading Skills pgs. 134-135</w:t>
            </w:r>
            <w:r w:rsidR="00BE32CA">
              <w:t xml:space="preserve"> (Video will be posted on Seesaw) </w:t>
            </w:r>
          </w:p>
        </w:tc>
      </w:tr>
      <w:tr w:rsidR="00365D9E" w:rsidRPr="00003BB5" w:rsidTr="00B70FCB">
        <w:tc>
          <w:tcPr>
            <w:tcW w:w="2263" w:type="dxa"/>
          </w:tcPr>
          <w:p w:rsidR="00365D9E" w:rsidRPr="00003BB5" w:rsidRDefault="00365D9E" w:rsidP="001F71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65D9E" w:rsidRPr="002C2154" w:rsidRDefault="00F93D39" w:rsidP="0096462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Please do </w:t>
            </w:r>
            <w:r w:rsidR="0096462C">
              <w:rPr>
                <w:sz w:val="24"/>
              </w:rPr>
              <w:t>the next two pages</w:t>
            </w:r>
            <w:r>
              <w:rPr>
                <w:sz w:val="24"/>
              </w:rPr>
              <w:t xml:space="preserve"> with your BEST 1</w:t>
            </w:r>
            <w:r w:rsidRPr="00F93D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 handwriting. Remember it is not a race! Always start from the top and don’t make any floating letters! </w:t>
            </w:r>
            <w:r w:rsidRPr="00F93D39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  <w:r w:rsidR="008B0A9E">
              <w:rPr>
                <w:sz w:val="24"/>
              </w:rPr>
              <w:t>(You do not have to turn these in)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E602E"/>
    <w:rsid w:val="00131C9B"/>
    <w:rsid w:val="00133ACE"/>
    <w:rsid w:val="001417AE"/>
    <w:rsid w:val="00152B85"/>
    <w:rsid w:val="001B7295"/>
    <w:rsid w:val="001F489D"/>
    <w:rsid w:val="001F719D"/>
    <w:rsid w:val="0021010E"/>
    <w:rsid w:val="00231362"/>
    <w:rsid w:val="00247398"/>
    <w:rsid w:val="002560BF"/>
    <w:rsid w:val="00257D58"/>
    <w:rsid w:val="002C2154"/>
    <w:rsid w:val="002E6051"/>
    <w:rsid w:val="003002D7"/>
    <w:rsid w:val="00330DE5"/>
    <w:rsid w:val="00335851"/>
    <w:rsid w:val="003453BE"/>
    <w:rsid w:val="00353171"/>
    <w:rsid w:val="00365D9E"/>
    <w:rsid w:val="00384DAC"/>
    <w:rsid w:val="003E4E7E"/>
    <w:rsid w:val="004105BE"/>
    <w:rsid w:val="00420D3E"/>
    <w:rsid w:val="004355B6"/>
    <w:rsid w:val="00453898"/>
    <w:rsid w:val="004A76A3"/>
    <w:rsid w:val="004B1D6A"/>
    <w:rsid w:val="004D5CA8"/>
    <w:rsid w:val="0050336B"/>
    <w:rsid w:val="0051287C"/>
    <w:rsid w:val="005138D4"/>
    <w:rsid w:val="00521644"/>
    <w:rsid w:val="00530133"/>
    <w:rsid w:val="00550193"/>
    <w:rsid w:val="00567666"/>
    <w:rsid w:val="005721DC"/>
    <w:rsid w:val="00684EE0"/>
    <w:rsid w:val="00702D35"/>
    <w:rsid w:val="007659EC"/>
    <w:rsid w:val="00782D82"/>
    <w:rsid w:val="007C7C41"/>
    <w:rsid w:val="007F2C30"/>
    <w:rsid w:val="00846945"/>
    <w:rsid w:val="0087544E"/>
    <w:rsid w:val="00884919"/>
    <w:rsid w:val="008B0A9E"/>
    <w:rsid w:val="008F4962"/>
    <w:rsid w:val="009012E8"/>
    <w:rsid w:val="009167EE"/>
    <w:rsid w:val="00926287"/>
    <w:rsid w:val="0096462C"/>
    <w:rsid w:val="009A23B0"/>
    <w:rsid w:val="009C655B"/>
    <w:rsid w:val="00A15183"/>
    <w:rsid w:val="00A35420"/>
    <w:rsid w:val="00AF6835"/>
    <w:rsid w:val="00B000F8"/>
    <w:rsid w:val="00B70FCB"/>
    <w:rsid w:val="00B866A9"/>
    <w:rsid w:val="00BA6374"/>
    <w:rsid w:val="00BE0EA7"/>
    <w:rsid w:val="00BE32CA"/>
    <w:rsid w:val="00BE34F1"/>
    <w:rsid w:val="00BF4BD8"/>
    <w:rsid w:val="00C17788"/>
    <w:rsid w:val="00C41A05"/>
    <w:rsid w:val="00C57921"/>
    <w:rsid w:val="00CF166E"/>
    <w:rsid w:val="00D809F4"/>
    <w:rsid w:val="00DC2584"/>
    <w:rsid w:val="00DC4660"/>
    <w:rsid w:val="00DD3E0F"/>
    <w:rsid w:val="00DF5709"/>
    <w:rsid w:val="00E00EAE"/>
    <w:rsid w:val="00E44A91"/>
    <w:rsid w:val="00E5149E"/>
    <w:rsid w:val="00E6733B"/>
    <w:rsid w:val="00E750EF"/>
    <w:rsid w:val="00E97BF6"/>
    <w:rsid w:val="00EB1885"/>
    <w:rsid w:val="00EC0BCF"/>
    <w:rsid w:val="00F13553"/>
    <w:rsid w:val="00F22AA0"/>
    <w:rsid w:val="00F93D39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7771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sn1.scholastic.com/issues/2019-20/0401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math/gomath/na/gr1/online_interactive_teacher_book_9780544349063_/G1_Chp11_L3/launch.html?edition=student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logster.com/glog/_/1xfc4lxquc0" TargetMode="External"/><Relationship Id="rId11" Type="http://schemas.openxmlformats.org/officeDocument/2006/relationships/hyperlink" Target="https://www-k6.thinkcentral.com/content/hsp/math/gomath/na/gr1/online_interactive_teacher_book_9780544349063_/G1_Chp11_L5/launch.html?edition=stud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na/gr1/online_interactive_teacher_book_9780544349063_/G1_Chp11_L4/launch.html?edition=stu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F912-84FD-43A1-9455-C83390ED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6</cp:revision>
  <cp:lastPrinted>2020-04-17T00:48:00Z</cp:lastPrinted>
  <dcterms:created xsi:type="dcterms:W3CDTF">2020-04-09T20:51:00Z</dcterms:created>
  <dcterms:modified xsi:type="dcterms:W3CDTF">2020-04-17T00:48:00Z</dcterms:modified>
</cp:coreProperties>
</file>